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16B9F9" w14:textId="77777777" w:rsidR="007F1AFD" w:rsidRDefault="00000000">
      <w:pPr>
        <w:jc w:val="both"/>
        <w:rPr>
          <w:b/>
          <w:sz w:val="40"/>
          <w:szCs w:val="40"/>
        </w:rPr>
      </w:pPr>
      <w:r>
        <w:rPr>
          <w:b/>
          <w:sz w:val="40"/>
          <w:szCs w:val="40"/>
        </w:rPr>
        <w:t xml:space="preserve">La Orquesta de la Comunidad de Madrid y Alondra de la Parra ofrecen un concierto gratuito por el Día de la Hispanidad </w:t>
      </w:r>
    </w:p>
    <w:p w14:paraId="0BE94958" w14:textId="77777777" w:rsidR="007F1AFD" w:rsidRDefault="007F1AFD">
      <w:pPr>
        <w:pBdr>
          <w:top w:val="nil"/>
          <w:left w:val="nil"/>
          <w:bottom w:val="nil"/>
          <w:right w:val="nil"/>
          <w:between w:val="nil"/>
        </w:pBdr>
        <w:rPr>
          <w:b/>
          <w:sz w:val="26"/>
          <w:szCs w:val="26"/>
        </w:rPr>
      </w:pPr>
    </w:p>
    <w:p w14:paraId="0FAF7E2D" w14:textId="77777777" w:rsidR="007F1AFD" w:rsidRDefault="007F1AFD">
      <w:pPr>
        <w:pBdr>
          <w:top w:val="nil"/>
          <w:left w:val="nil"/>
          <w:bottom w:val="nil"/>
          <w:right w:val="nil"/>
          <w:between w:val="nil"/>
        </w:pBdr>
        <w:rPr>
          <w:b/>
          <w:sz w:val="26"/>
          <w:szCs w:val="26"/>
        </w:rPr>
      </w:pPr>
    </w:p>
    <w:p w14:paraId="5A884995" w14:textId="77777777" w:rsidR="007F1AFD" w:rsidRDefault="00000000">
      <w:pPr>
        <w:numPr>
          <w:ilvl w:val="0"/>
          <w:numId w:val="1"/>
        </w:numPr>
        <w:pBdr>
          <w:top w:val="nil"/>
          <w:left w:val="nil"/>
          <w:bottom w:val="nil"/>
          <w:right w:val="nil"/>
          <w:between w:val="nil"/>
        </w:pBdr>
        <w:jc w:val="both"/>
        <w:rPr>
          <w:b/>
          <w:color w:val="000000"/>
          <w:sz w:val="24"/>
          <w:szCs w:val="24"/>
        </w:rPr>
      </w:pPr>
      <w:r>
        <w:rPr>
          <w:b/>
          <w:color w:val="000000"/>
          <w:sz w:val="24"/>
          <w:szCs w:val="24"/>
        </w:rPr>
        <w:t xml:space="preserve">El conjunto y su directora titular y artística </w:t>
      </w:r>
      <w:r>
        <w:rPr>
          <w:b/>
          <w:sz w:val="24"/>
          <w:szCs w:val="24"/>
        </w:rPr>
        <w:t>protagonizarán el 12 de octubre por la mañana un concierto</w:t>
      </w:r>
      <w:r>
        <w:rPr>
          <w:b/>
          <w:color w:val="000000"/>
          <w:sz w:val="24"/>
          <w:szCs w:val="24"/>
        </w:rPr>
        <w:t xml:space="preserve"> en la Plaza Mayor</w:t>
      </w:r>
      <w:r>
        <w:rPr>
          <w:b/>
          <w:sz w:val="24"/>
          <w:szCs w:val="24"/>
        </w:rPr>
        <w:t xml:space="preserve"> con música de autores referentes de España y Argentina, país invitado en esta edición</w:t>
      </w:r>
    </w:p>
    <w:p w14:paraId="397BACAD" w14:textId="77777777" w:rsidR="007F1AFD" w:rsidRDefault="007F1AFD">
      <w:pPr>
        <w:pBdr>
          <w:top w:val="nil"/>
          <w:left w:val="nil"/>
          <w:bottom w:val="nil"/>
          <w:right w:val="nil"/>
          <w:between w:val="nil"/>
        </w:pBdr>
        <w:ind w:left="720"/>
        <w:jc w:val="both"/>
        <w:rPr>
          <w:b/>
          <w:sz w:val="24"/>
          <w:szCs w:val="24"/>
        </w:rPr>
      </w:pPr>
    </w:p>
    <w:p w14:paraId="589C30A1" w14:textId="77777777" w:rsidR="007F1AFD" w:rsidRDefault="00000000">
      <w:pPr>
        <w:numPr>
          <w:ilvl w:val="0"/>
          <w:numId w:val="1"/>
        </w:numPr>
        <w:jc w:val="both"/>
        <w:rPr>
          <w:b/>
          <w:sz w:val="24"/>
          <w:szCs w:val="24"/>
        </w:rPr>
      </w:pPr>
      <w:r>
        <w:rPr>
          <w:b/>
          <w:sz w:val="24"/>
          <w:szCs w:val="24"/>
        </w:rPr>
        <w:t xml:space="preserve">Interpretarán obras como </w:t>
      </w:r>
      <w:r>
        <w:rPr>
          <w:b/>
          <w:i/>
          <w:sz w:val="24"/>
          <w:szCs w:val="24"/>
        </w:rPr>
        <w:t>El Sombrero de tres picos</w:t>
      </w:r>
      <w:r>
        <w:rPr>
          <w:b/>
          <w:sz w:val="24"/>
          <w:szCs w:val="24"/>
        </w:rPr>
        <w:t xml:space="preserve"> de Falla, </w:t>
      </w:r>
      <w:r>
        <w:rPr>
          <w:b/>
          <w:i/>
          <w:sz w:val="24"/>
          <w:szCs w:val="24"/>
        </w:rPr>
        <w:t>Tangazo</w:t>
      </w:r>
      <w:r>
        <w:rPr>
          <w:b/>
          <w:sz w:val="24"/>
          <w:szCs w:val="24"/>
        </w:rPr>
        <w:t xml:space="preserve"> de Piazzolla o </w:t>
      </w:r>
      <w:r>
        <w:rPr>
          <w:b/>
          <w:i/>
          <w:sz w:val="24"/>
          <w:szCs w:val="24"/>
        </w:rPr>
        <w:t xml:space="preserve">Cuatro Danzas del ballet Estancia </w:t>
      </w:r>
      <w:r>
        <w:rPr>
          <w:b/>
          <w:sz w:val="24"/>
          <w:szCs w:val="24"/>
        </w:rPr>
        <w:t xml:space="preserve">de </w:t>
      </w:r>
      <w:proofErr w:type="spellStart"/>
      <w:r>
        <w:rPr>
          <w:b/>
          <w:sz w:val="24"/>
          <w:szCs w:val="24"/>
        </w:rPr>
        <w:t>Ginastera</w:t>
      </w:r>
      <w:proofErr w:type="spellEnd"/>
    </w:p>
    <w:p w14:paraId="7B026AC6" w14:textId="77777777" w:rsidR="007F1AFD" w:rsidRDefault="007F1AFD">
      <w:pPr>
        <w:jc w:val="both"/>
        <w:rPr>
          <w:b/>
          <w:sz w:val="24"/>
          <w:szCs w:val="24"/>
        </w:rPr>
      </w:pPr>
    </w:p>
    <w:p w14:paraId="26C7296A" w14:textId="77777777" w:rsidR="007F1AFD" w:rsidRDefault="00000000">
      <w:pPr>
        <w:numPr>
          <w:ilvl w:val="0"/>
          <w:numId w:val="1"/>
        </w:numPr>
        <w:pBdr>
          <w:top w:val="nil"/>
          <w:left w:val="nil"/>
          <w:bottom w:val="nil"/>
          <w:right w:val="nil"/>
          <w:between w:val="nil"/>
        </w:pBdr>
        <w:jc w:val="both"/>
        <w:rPr>
          <w:b/>
          <w:color w:val="000000"/>
          <w:sz w:val="24"/>
          <w:szCs w:val="24"/>
        </w:rPr>
      </w:pPr>
      <w:r>
        <w:rPr>
          <w:b/>
          <w:sz w:val="24"/>
          <w:szCs w:val="24"/>
        </w:rPr>
        <w:t>El programa también incluirá</w:t>
      </w:r>
      <w:r>
        <w:rPr>
          <w:b/>
          <w:color w:val="000000"/>
          <w:sz w:val="24"/>
          <w:szCs w:val="24"/>
        </w:rPr>
        <w:t xml:space="preserve"> </w:t>
      </w:r>
      <w:r>
        <w:rPr>
          <w:b/>
          <w:sz w:val="24"/>
          <w:szCs w:val="24"/>
        </w:rPr>
        <w:t xml:space="preserve">una selección </w:t>
      </w:r>
      <w:r>
        <w:rPr>
          <w:b/>
          <w:color w:val="000000"/>
          <w:sz w:val="24"/>
          <w:szCs w:val="24"/>
        </w:rPr>
        <w:t xml:space="preserve">de </w:t>
      </w:r>
      <w:r>
        <w:rPr>
          <w:b/>
          <w:i/>
          <w:color w:val="000000"/>
          <w:sz w:val="24"/>
          <w:szCs w:val="24"/>
        </w:rPr>
        <w:t>El orgullo de quererte</w:t>
      </w:r>
      <w:r>
        <w:rPr>
          <w:b/>
          <w:color w:val="000000"/>
          <w:sz w:val="24"/>
          <w:szCs w:val="24"/>
        </w:rPr>
        <w:t xml:space="preserve">, la zarzuela contemporánea compuesta por Javier Carmena que la ORCAM presentó </w:t>
      </w:r>
      <w:r>
        <w:rPr>
          <w:b/>
          <w:sz w:val="24"/>
          <w:szCs w:val="24"/>
        </w:rPr>
        <w:t>en septiembre</w:t>
      </w:r>
      <w:r>
        <w:rPr>
          <w:b/>
          <w:color w:val="000000"/>
          <w:sz w:val="24"/>
          <w:szCs w:val="24"/>
        </w:rPr>
        <w:t xml:space="preserve"> en los Teatros del Canal bajo la dirección musical de Alondra de la Parra</w:t>
      </w:r>
    </w:p>
    <w:p w14:paraId="418C882C" w14:textId="77777777" w:rsidR="007F1AFD" w:rsidRDefault="007F1AFD">
      <w:pPr>
        <w:pBdr>
          <w:top w:val="nil"/>
          <w:left w:val="nil"/>
          <w:bottom w:val="nil"/>
          <w:right w:val="nil"/>
          <w:between w:val="nil"/>
        </w:pBdr>
        <w:rPr>
          <w:sz w:val="26"/>
          <w:szCs w:val="26"/>
        </w:rPr>
      </w:pPr>
    </w:p>
    <w:p w14:paraId="4750D075" w14:textId="3455E2FD" w:rsidR="007F1AFD" w:rsidRDefault="005567A8">
      <w:pPr>
        <w:jc w:val="both"/>
        <w:rPr>
          <w:sz w:val="24"/>
          <w:szCs w:val="24"/>
        </w:rPr>
      </w:pPr>
      <w:r>
        <w:rPr>
          <w:b/>
          <w:sz w:val="24"/>
          <w:szCs w:val="24"/>
          <w:u w:val="single"/>
        </w:rPr>
        <w:t>10</w:t>
      </w:r>
      <w:r w:rsidR="00000000">
        <w:rPr>
          <w:b/>
          <w:sz w:val="24"/>
          <w:szCs w:val="24"/>
          <w:u w:val="single"/>
        </w:rPr>
        <w:t xml:space="preserve"> de octubre de 2025.-</w:t>
      </w:r>
      <w:r w:rsidR="00000000">
        <w:rPr>
          <w:b/>
          <w:sz w:val="24"/>
          <w:szCs w:val="24"/>
        </w:rPr>
        <w:t xml:space="preserve"> </w:t>
      </w:r>
      <w:r w:rsidR="00000000">
        <w:rPr>
          <w:sz w:val="24"/>
          <w:szCs w:val="24"/>
        </w:rPr>
        <w:t xml:space="preserve">La </w:t>
      </w:r>
      <w:r w:rsidR="00000000">
        <w:rPr>
          <w:b/>
          <w:sz w:val="24"/>
          <w:szCs w:val="24"/>
        </w:rPr>
        <w:t>Orquesta de la Comunidad de Madrid</w:t>
      </w:r>
      <w:r w:rsidR="00000000">
        <w:rPr>
          <w:sz w:val="24"/>
          <w:szCs w:val="24"/>
        </w:rPr>
        <w:t xml:space="preserve"> participa en los actos de celebración del </w:t>
      </w:r>
      <w:r w:rsidR="00000000">
        <w:rPr>
          <w:b/>
          <w:sz w:val="24"/>
          <w:szCs w:val="24"/>
        </w:rPr>
        <w:t>Día de la Hispanidad 2025</w:t>
      </w:r>
      <w:r w:rsidR="00000000">
        <w:rPr>
          <w:sz w:val="24"/>
          <w:szCs w:val="24"/>
        </w:rPr>
        <w:t xml:space="preserve"> con un </w:t>
      </w:r>
      <w:hyperlink r:id="rId7" w:history="1">
        <w:r w:rsidR="007F1AFD" w:rsidRPr="00DD18E5">
          <w:rPr>
            <w:rStyle w:val="Hipervnculo"/>
            <w:sz w:val="24"/>
            <w:szCs w:val="24"/>
          </w:rPr>
          <w:t>concierto de entrada libre</w:t>
        </w:r>
      </w:hyperlink>
      <w:r w:rsidR="00000000">
        <w:rPr>
          <w:sz w:val="24"/>
          <w:szCs w:val="24"/>
        </w:rPr>
        <w:t xml:space="preserve"> hasta completar aforo el domingo 12 de octubre (a las 12:00 h) en la Plaza Mayor de Madrid. De unos 90 minutos de duración, estará dirigido por la maestra titular y artística de la ORCAM, </w:t>
      </w:r>
      <w:r w:rsidR="00000000">
        <w:rPr>
          <w:b/>
          <w:sz w:val="24"/>
          <w:szCs w:val="24"/>
        </w:rPr>
        <w:t>Alondra de la Parra</w:t>
      </w:r>
      <w:r w:rsidR="00000000">
        <w:rPr>
          <w:sz w:val="24"/>
          <w:szCs w:val="24"/>
        </w:rPr>
        <w:t>.</w:t>
      </w:r>
    </w:p>
    <w:p w14:paraId="0259F57E" w14:textId="77777777" w:rsidR="007F1AFD" w:rsidRDefault="007F1AFD">
      <w:pPr>
        <w:jc w:val="both"/>
        <w:rPr>
          <w:sz w:val="24"/>
          <w:szCs w:val="24"/>
        </w:rPr>
      </w:pPr>
    </w:p>
    <w:p w14:paraId="502BA635" w14:textId="77777777" w:rsidR="007F1AFD" w:rsidRDefault="00000000">
      <w:pPr>
        <w:jc w:val="both"/>
        <w:rPr>
          <w:sz w:val="24"/>
          <w:szCs w:val="24"/>
        </w:rPr>
      </w:pPr>
      <w:r>
        <w:rPr>
          <w:sz w:val="24"/>
          <w:szCs w:val="24"/>
        </w:rPr>
        <w:t xml:space="preserve">Esta fiesta de la música contará con la interpretación de </w:t>
      </w:r>
      <w:r>
        <w:rPr>
          <w:b/>
          <w:sz w:val="24"/>
          <w:szCs w:val="24"/>
        </w:rPr>
        <w:t>conocidas piezas de autores españoles y argentinos</w:t>
      </w:r>
      <w:r>
        <w:rPr>
          <w:sz w:val="24"/>
          <w:szCs w:val="24"/>
        </w:rPr>
        <w:t xml:space="preserve"> como </w:t>
      </w:r>
      <w:r>
        <w:rPr>
          <w:i/>
          <w:sz w:val="24"/>
          <w:szCs w:val="24"/>
        </w:rPr>
        <w:t>El Sombrero de tres picos</w:t>
      </w:r>
      <w:r>
        <w:rPr>
          <w:sz w:val="24"/>
          <w:szCs w:val="24"/>
        </w:rPr>
        <w:t xml:space="preserve"> del maestro español Manuel de Falla; así como dos piezas de compositores argentinos, </w:t>
      </w:r>
      <w:r>
        <w:rPr>
          <w:i/>
          <w:sz w:val="24"/>
          <w:szCs w:val="24"/>
        </w:rPr>
        <w:t>Tangazo</w:t>
      </w:r>
      <w:r>
        <w:rPr>
          <w:sz w:val="24"/>
          <w:szCs w:val="24"/>
        </w:rPr>
        <w:t xml:space="preserve"> de Astor Piazzolla y </w:t>
      </w:r>
      <w:r>
        <w:rPr>
          <w:i/>
          <w:sz w:val="24"/>
          <w:szCs w:val="24"/>
        </w:rPr>
        <w:t xml:space="preserve">Cuatro Danzas del ballet Estancia </w:t>
      </w:r>
      <w:r>
        <w:rPr>
          <w:sz w:val="24"/>
          <w:szCs w:val="24"/>
        </w:rPr>
        <w:t xml:space="preserve">de Alberto </w:t>
      </w:r>
      <w:proofErr w:type="spellStart"/>
      <w:r>
        <w:rPr>
          <w:sz w:val="24"/>
          <w:szCs w:val="24"/>
        </w:rPr>
        <w:t>Ginastera</w:t>
      </w:r>
      <w:proofErr w:type="spellEnd"/>
      <w:r>
        <w:rPr>
          <w:sz w:val="24"/>
          <w:szCs w:val="24"/>
        </w:rPr>
        <w:t>. La cita será así un gran encuentro musical de España y Argentina, país invitado en esta edición. En palabras de Alondra de la Parra: “El Día de la Hispanidad es una ocasión estupenda para recordar el fuerte vínculo que une a nuestros pueblos, a una comunidad extraordinaria de personas, que está unida de forma inquebrantable por la música, el arte y el patrimonio compartido de la lengua. Y que mejor manera que hacerlo a través de un concierto en el que compositores españoles y argentinos dialogan para celebrar esta hermandad tan especial a través de obras musicales llenas de color, de matices fascinantes, que ponen de manifiesto la rica herencia común que nos une.”</w:t>
      </w:r>
    </w:p>
    <w:p w14:paraId="35942B61" w14:textId="77777777" w:rsidR="007F1AFD" w:rsidRDefault="007F1AFD">
      <w:pPr>
        <w:jc w:val="both"/>
        <w:rPr>
          <w:sz w:val="24"/>
          <w:szCs w:val="24"/>
        </w:rPr>
      </w:pPr>
    </w:p>
    <w:p w14:paraId="1050F6D7" w14:textId="77777777" w:rsidR="007F1AFD" w:rsidRDefault="00000000">
      <w:pPr>
        <w:jc w:val="both"/>
        <w:rPr>
          <w:sz w:val="24"/>
          <w:szCs w:val="24"/>
        </w:rPr>
      </w:pPr>
      <w:r>
        <w:rPr>
          <w:sz w:val="24"/>
          <w:szCs w:val="24"/>
        </w:rPr>
        <w:lastRenderedPageBreak/>
        <w:t xml:space="preserve">Dentro del programa destaca, además, la interpretación de una selección musical de </w:t>
      </w:r>
      <w:r>
        <w:rPr>
          <w:b/>
          <w:i/>
          <w:sz w:val="24"/>
          <w:szCs w:val="24"/>
        </w:rPr>
        <w:t>El orgullo de quererte</w:t>
      </w:r>
      <w:r>
        <w:rPr>
          <w:sz w:val="24"/>
          <w:szCs w:val="24"/>
        </w:rPr>
        <w:t xml:space="preserve">, la zarzuela contemporánea compuesta por </w:t>
      </w:r>
      <w:r>
        <w:rPr>
          <w:b/>
          <w:sz w:val="24"/>
          <w:szCs w:val="24"/>
        </w:rPr>
        <w:t>Javier Carmena</w:t>
      </w:r>
      <w:r>
        <w:rPr>
          <w:sz w:val="24"/>
          <w:szCs w:val="24"/>
        </w:rPr>
        <w:t xml:space="preserve"> que la ORCAM presentó con éxito hace unas semanas en los Teatros del Canal bajo la dirección musical de Alondra de la Parra, libreto de Felipe Nieto y dirección escénica de Albert Boadella y Martina </w:t>
      </w:r>
      <w:proofErr w:type="spellStart"/>
      <w:r>
        <w:rPr>
          <w:sz w:val="24"/>
          <w:szCs w:val="24"/>
        </w:rPr>
        <w:t>Cabanas</w:t>
      </w:r>
      <w:proofErr w:type="spellEnd"/>
      <w:r>
        <w:rPr>
          <w:sz w:val="24"/>
          <w:szCs w:val="24"/>
        </w:rPr>
        <w:t>.</w:t>
      </w:r>
    </w:p>
    <w:p w14:paraId="0D1A5E57" w14:textId="77777777" w:rsidR="007F1AFD" w:rsidRDefault="007F1AFD">
      <w:pPr>
        <w:jc w:val="both"/>
        <w:rPr>
          <w:sz w:val="24"/>
          <w:szCs w:val="24"/>
        </w:rPr>
      </w:pPr>
    </w:p>
    <w:p w14:paraId="47A1E6FA" w14:textId="77777777" w:rsidR="007F1AFD" w:rsidRDefault="00000000">
      <w:pPr>
        <w:jc w:val="both"/>
        <w:rPr>
          <w:sz w:val="24"/>
          <w:szCs w:val="24"/>
        </w:rPr>
      </w:pPr>
      <w:r>
        <w:rPr>
          <w:b/>
          <w:sz w:val="24"/>
          <w:szCs w:val="24"/>
        </w:rPr>
        <w:t>Fiesta de la Hispanidad: todos los acentos caben en Madrid</w:t>
      </w:r>
    </w:p>
    <w:p w14:paraId="2926E794" w14:textId="77777777" w:rsidR="007F1AFD" w:rsidRDefault="007F1AFD">
      <w:pPr>
        <w:jc w:val="both"/>
        <w:rPr>
          <w:sz w:val="24"/>
          <w:szCs w:val="24"/>
        </w:rPr>
      </w:pPr>
    </w:p>
    <w:p w14:paraId="548EDBAD" w14:textId="568D6DEA" w:rsidR="007F1AFD" w:rsidRDefault="00000000">
      <w:pPr>
        <w:jc w:val="both"/>
        <w:rPr>
          <w:sz w:val="24"/>
          <w:szCs w:val="24"/>
        </w:rPr>
      </w:pPr>
      <w:r>
        <w:rPr>
          <w:sz w:val="24"/>
          <w:szCs w:val="24"/>
        </w:rPr>
        <w:t>En 2024 Alondra de la Parra fue pregonera del Día de la Hispanidad, edición en la que México fue el país invitado. En esa ocasión la Fundación ORCAM también estuvo presente con actuaciones del Coro de la Comunidad de Madrid, los Pequeños Cantores de la ORCAM y la Joven Orquesta de la Comunidad de Madrid (JORCAM).</w:t>
      </w:r>
    </w:p>
    <w:p w14:paraId="078E5D8F" w14:textId="77777777" w:rsidR="007F1AFD" w:rsidRDefault="007F1AFD">
      <w:pPr>
        <w:jc w:val="both"/>
        <w:rPr>
          <w:sz w:val="24"/>
          <w:szCs w:val="24"/>
        </w:rPr>
      </w:pPr>
    </w:p>
    <w:p w14:paraId="7BA7E507" w14:textId="539F184A" w:rsidR="007F1AFD" w:rsidRDefault="007F1AFD">
      <w:pPr>
        <w:jc w:val="both"/>
        <w:rPr>
          <w:sz w:val="24"/>
          <w:szCs w:val="24"/>
        </w:rPr>
      </w:pPr>
      <w:hyperlink r:id="rId8">
        <w:r>
          <w:rPr>
            <w:b/>
            <w:color w:val="1155CC"/>
            <w:sz w:val="24"/>
            <w:szCs w:val="24"/>
            <w:u w:val="single"/>
          </w:rPr>
          <w:t>Hispanidad 2025</w:t>
        </w:r>
      </w:hyperlink>
      <w:r w:rsidR="00DD18E5">
        <w:rPr>
          <w:sz w:val="24"/>
          <w:szCs w:val="24"/>
        </w:rPr>
        <w:t xml:space="preserve">, </w:t>
      </w:r>
      <w:r w:rsidR="00000000">
        <w:rPr>
          <w:sz w:val="24"/>
          <w:szCs w:val="24"/>
        </w:rPr>
        <w:t xml:space="preserve">el mayor evento cultural en </w:t>
      </w:r>
      <w:r w:rsidR="00DD18E5">
        <w:rPr>
          <w:sz w:val="24"/>
          <w:szCs w:val="24"/>
        </w:rPr>
        <w:t>español,</w:t>
      </w:r>
      <w:r w:rsidR="00000000">
        <w:rPr>
          <w:sz w:val="24"/>
          <w:szCs w:val="24"/>
        </w:rPr>
        <w:t xml:space="preserve"> celebra</w:t>
      </w:r>
      <w:r w:rsidR="00DD18E5">
        <w:rPr>
          <w:sz w:val="24"/>
          <w:szCs w:val="24"/>
        </w:rPr>
        <w:t xml:space="preserve"> este año</w:t>
      </w:r>
      <w:r w:rsidR="00000000">
        <w:rPr>
          <w:sz w:val="24"/>
          <w:szCs w:val="24"/>
        </w:rPr>
        <w:t xml:space="preserve"> su quinta edición del 3 al 12 de octubre con más de 200 actividades para todos los públicos, distribuidas por 70 escenarios de diferentes puntos de la región, y artistas procedentes de 23 nacionalidades. </w:t>
      </w:r>
      <w:r w:rsidR="00000000">
        <w:rPr>
          <w:rFonts w:ascii="Gotham" w:eastAsia="Gotham" w:hAnsi="Gotham" w:cs="Gotham"/>
        </w:rPr>
        <w:t> </w:t>
      </w:r>
    </w:p>
    <w:p w14:paraId="730A3294" w14:textId="77777777" w:rsidR="007F1AFD" w:rsidRDefault="007F1AFD">
      <w:pPr>
        <w:jc w:val="both"/>
        <w:rPr>
          <w:rFonts w:ascii="Gotham" w:eastAsia="Gotham" w:hAnsi="Gotham" w:cs="Gotham"/>
        </w:rPr>
      </w:pPr>
    </w:p>
    <w:p w14:paraId="69434D53" w14:textId="77777777" w:rsidR="007F1AFD" w:rsidRDefault="007F1AFD">
      <w:pPr>
        <w:jc w:val="both"/>
        <w:rPr>
          <w:rFonts w:ascii="Gotham" w:eastAsia="Gotham" w:hAnsi="Gotham" w:cs="Gotham"/>
        </w:rPr>
      </w:pPr>
    </w:p>
    <w:p w14:paraId="55FA6934" w14:textId="77777777" w:rsidR="007F1AFD" w:rsidRDefault="007F1AFD">
      <w:pPr>
        <w:jc w:val="both"/>
        <w:rPr>
          <w:sz w:val="24"/>
          <w:szCs w:val="24"/>
        </w:rPr>
      </w:pPr>
    </w:p>
    <w:p w14:paraId="02A2D9FE" w14:textId="77777777" w:rsidR="007F1AFD" w:rsidRDefault="00000000">
      <w:pPr>
        <w:shd w:val="clear" w:color="auto" w:fill="FFFFFF"/>
        <w:spacing w:line="240" w:lineRule="auto"/>
        <w:jc w:val="both"/>
        <w:rPr>
          <w:color w:val="333333"/>
          <w:sz w:val="24"/>
          <w:szCs w:val="24"/>
        </w:rPr>
      </w:pPr>
      <w:r>
        <w:rPr>
          <w:noProof/>
        </w:rPr>
        <mc:AlternateContent>
          <mc:Choice Requires="wpg">
            <w:drawing>
              <wp:anchor distT="0" distB="0" distL="114300" distR="114300" simplePos="0" relativeHeight="251658240" behindDoc="0" locked="0" layoutInCell="1" hidden="0" allowOverlap="1" wp14:anchorId="6569660C" wp14:editId="177CBB65">
                <wp:simplePos x="0" y="0"/>
                <wp:positionH relativeFrom="column">
                  <wp:posOffset>-60323</wp:posOffset>
                </wp:positionH>
                <wp:positionV relativeFrom="paragraph">
                  <wp:posOffset>66675</wp:posOffset>
                </wp:positionV>
                <wp:extent cx="5848350" cy="76200"/>
                <wp:effectExtent l="0" t="0" r="0" b="0"/>
                <wp:wrapNone/>
                <wp:docPr id="1" name="Conector recto de flecha 1"/>
                <wp:cNvGraphicFramePr/>
                <a:graphic xmlns:a="http://schemas.openxmlformats.org/drawingml/2006/main">
                  <a:graphicData uri="http://schemas.microsoft.com/office/word/2010/wordprocessingShape">
                    <wps:wsp>
                      <wps:cNvCnPr/>
                      <wps:spPr>
                        <a:xfrm>
                          <a:off x="2450400" y="3780000"/>
                          <a:ext cx="5791200" cy="0"/>
                        </a:xfrm>
                        <a:prstGeom prst="straightConnector1">
                          <a:avLst/>
                        </a:prstGeom>
                        <a:noFill/>
                        <a:ln w="19050" cap="flat" cmpd="sng">
                          <a:solidFill>
                            <a:schemeClr val="dk1"/>
                          </a:solidFill>
                          <a:prstDash val="solid"/>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-60323</wp:posOffset>
                </wp:positionH>
                <wp:positionV relativeFrom="paragraph">
                  <wp:posOffset>66675</wp:posOffset>
                </wp:positionV>
                <wp:extent cx="5848350" cy="76200"/>
                <wp:effectExtent b="0" l="0" r="0" t="0"/>
                <wp:wrapNone/>
                <wp:docPr id="1" name="image2.png"/>
                <a:graphic>
                  <a:graphicData uri="http://schemas.openxmlformats.org/drawingml/2006/picture">
                    <pic:pic>
                      <pic:nvPicPr>
                        <pic:cNvPr id="0" name="image2.png"/>
                        <pic:cNvPicPr preferRelativeResize="0"/>
                      </pic:nvPicPr>
                      <pic:blipFill>
                        <a:blip r:embed="rId9"/>
                        <a:srcRect/>
                        <a:stretch>
                          <a:fillRect/>
                        </a:stretch>
                      </pic:blipFill>
                      <pic:spPr>
                        <a:xfrm>
                          <a:off x="0" y="0"/>
                          <a:ext cx="5848350" cy="76200"/>
                        </a:xfrm>
                        <a:prstGeom prst="rect"/>
                        <a:ln/>
                      </pic:spPr>
                    </pic:pic>
                  </a:graphicData>
                </a:graphic>
              </wp:anchor>
            </w:drawing>
          </mc:Fallback>
        </mc:AlternateContent>
      </w:r>
    </w:p>
    <w:p w14:paraId="3C91A08B" w14:textId="77777777" w:rsidR="007F1AFD" w:rsidRDefault="007F1AFD">
      <w:pPr>
        <w:spacing w:line="240" w:lineRule="auto"/>
        <w:jc w:val="center"/>
        <w:rPr>
          <w:b/>
          <w:sz w:val="28"/>
          <w:szCs w:val="28"/>
          <w:u w:val="single"/>
        </w:rPr>
      </w:pPr>
    </w:p>
    <w:p w14:paraId="39C8C1FA" w14:textId="77777777" w:rsidR="007F1AFD" w:rsidRDefault="00000000">
      <w:pPr>
        <w:spacing w:line="240" w:lineRule="auto"/>
        <w:jc w:val="center"/>
        <w:rPr>
          <w:rFonts w:ascii="Times New Roman" w:eastAsia="Times New Roman" w:hAnsi="Times New Roman" w:cs="Times New Roman"/>
          <w:sz w:val="24"/>
          <w:szCs w:val="24"/>
        </w:rPr>
      </w:pPr>
      <w:r>
        <w:rPr>
          <w:b/>
          <w:sz w:val="28"/>
          <w:szCs w:val="28"/>
          <w:u w:val="single"/>
        </w:rPr>
        <w:t>Contacto de prensa</w:t>
      </w:r>
    </w:p>
    <w:p w14:paraId="65C65741" w14:textId="77777777" w:rsidR="007F1AFD" w:rsidRDefault="007F1AFD">
      <w:pPr>
        <w:spacing w:line="240" w:lineRule="auto"/>
        <w:rPr>
          <w:rFonts w:ascii="Times New Roman" w:eastAsia="Times New Roman" w:hAnsi="Times New Roman" w:cs="Times New Roman"/>
          <w:sz w:val="24"/>
          <w:szCs w:val="24"/>
        </w:rPr>
      </w:pPr>
    </w:p>
    <w:p w14:paraId="050E44BD" w14:textId="77777777" w:rsidR="007F1AFD" w:rsidRDefault="00000000">
      <w:pPr>
        <w:shd w:val="clear" w:color="auto" w:fill="FFFFFF"/>
        <w:spacing w:line="240" w:lineRule="auto"/>
        <w:jc w:val="center"/>
        <w:rPr>
          <w:rFonts w:ascii="Times New Roman" w:eastAsia="Times New Roman" w:hAnsi="Times New Roman" w:cs="Times New Roman"/>
          <w:sz w:val="24"/>
          <w:szCs w:val="24"/>
        </w:rPr>
      </w:pPr>
      <w:r>
        <w:rPr>
          <w:b/>
          <w:sz w:val="28"/>
          <w:szCs w:val="28"/>
        </w:rPr>
        <w:t>Alexandra López / Cristina Martínez</w:t>
      </w:r>
    </w:p>
    <w:p w14:paraId="0F6FBE43" w14:textId="77777777" w:rsidR="007F1AFD" w:rsidRDefault="007F1AFD">
      <w:pPr>
        <w:shd w:val="clear" w:color="auto" w:fill="FFFFFF"/>
        <w:spacing w:line="240" w:lineRule="auto"/>
        <w:jc w:val="center"/>
        <w:rPr>
          <w:rFonts w:ascii="Times New Roman" w:eastAsia="Times New Roman" w:hAnsi="Times New Roman" w:cs="Times New Roman"/>
          <w:sz w:val="24"/>
          <w:szCs w:val="24"/>
        </w:rPr>
      </w:pPr>
      <w:hyperlink r:id="rId10">
        <w:r>
          <w:rPr>
            <w:color w:val="0000FF"/>
            <w:sz w:val="28"/>
            <w:szCs w:val="28"/>
            <w:u w:val="single"/>
          </w:rPr>
          <w:t>prensa@fundacionorcam.org</w:t>
        </w:r>
      </w:hyperlink>
    </w:p>
    <w:p w14:paraId="4CE2BB46" w14:textId="77777777" w:rsidR="007F1AFD" w:rsidRDefault="00000000">
      <w:pPr>
        <w:shd w:val="clear" w:color="auto" w:fill="FFFFFF"/>
        <w:spacing w:line="240" w:lineRule="auto"/>
        <w:jc w:val="center"/>
        <w:rPr>
          <w:rFonts w:ascii="Times New Roman" w:eastAsia="Times New Roman" w:hAnsi="Times New Roman" w:cs="Times New Roman"/>
          <w:sz w:val="24"/>
          <w:szCs w:val="24"/>
        </w:rPr>
      </w:pPr>
      <w:r>
        <w:rPr>
          <w:sz w:val="28"/>
          <w:szCs w:val="28"/>
        </w:rPr>
        <w:t> +34 605 98 21 31 / +34 666 75 20 38</w:t>
      </w:r>
    </w:p>
    <w:p w14:paraId="31374958" w14:textId="77777777" w:rsidR="007F1AFD" w:rsidRDefault="00000000">
      <w:pPr>
        <w:shd w:val="clear" w:color="auto" w:fill="FFFFFF"/>
        <w:spacing w:line="240" w:lineRule="auto"/>
        <w:jc w:val="center"/>
        <w:rPr>
          <w:rFonts w:ascii="Times New Roman" w:eastAsia="Times New Roman" w:hAnsi="Times New Roman" w:cs="Times New Roman"/>
          <w:sz w:val="24"/>
          <w:szCs w:val="24"/>
        </w:rPr>
      </w:pPr>
      <w:r>
        <w:rPr>
          <w:sz w:val="28"/>
          <w:szCs w:val="28"/>
        </w:rPr>
        <w:t> </w:t>
      </w:r>
    </w:p>
    <w:p w14:paraId="31057170" w14:textId="77777777" w:rsidR="007F1AFD" w:rsidRDefault="00000000">
      <w:pPr>
        <w:shd w:val="clear" w:color="auto" w:fill="FFFFFF"/>
        <w:spacing w:line="240" w:lineRule="auto"/>
        <w:jc w:val="center"/>
        <w:rPr>
          <w:rFonts w:ascii="Times New Roman" w:eastAsia="Times New Roman" w:hAnsi="Times New Roman" w:cs="Times New Roman"/>
          <w:sz w:val="24"/>
          <w:szCs w:val="24"/>
        </w:rPr>
      </w:pPr>
      <w:r>
        <w:rPr>
          <w:b/>
          <w:sz w:val="28"/>
          <w:szCs w:val="28"/>
        </w:rPr>
        <w:t>Gloria Inglis</w:t>
      </w:r>
    </w:p>
    <w:p w14:paraId="38DD9F91" w14:textId="77777777" w:rsidR="007F1AFD" w:rsidRDefault="007F1AFD">
      <w:pPr>
        <w:shd w:val="clear" w:color="auto" w:fill="FFFFFF"/>
        <w:spacing w:line="240" w:lineRule="auto"/>
        <w:jc w:val="center"/>
        <w:rPr>
          <w:rFonts w:ascii="Times New Roman" w:eastAsia="Times New Roman" w:hAnsi="Times New Roman" w:cs="Times New Roman"/>
          <w:sz w:val="24"/>
          <w:szCs w:val="24"/>
        </w:rPr>
      </w:pPr>
      <w:hyperlink r:id="rId11">
        <w:r>
          <w:rPr>
            <w:color w:val="0000FF"/>
            <w:sz w:val="28"/>
            <w:szCs w:val="28"/>
            <w:u w:val="single"/>
          </w:rPr>
          <w:t>gloria.inglis@fundacionorcam.org</w:t>
        </w:r>
      </w:hyperlink>
      <w:r w:rsidR="00000000">
        <w:rPr>
          <w:sz w:val="28"/>
          <w:szCs w:val="28"/>
        </w:rPr>
        <w:t> </w:t>
      </w:r>
    </w:p>
    <w:p w14:paraId="293F5B43" w14:textId="77777777" w:rsidR="007F1AFD" w:rsidRDefault="00000000">
      <w:pPr>
        <w:shd w:val="clear" w:color="auto" w:fill="FFFFFF"/>
        <w:spacing w:line="240" w:lineRule="auto"/>
        <w:jc w:val="center"/>
        <w:rPr>
          <w:rFonts w:ascii="Calibri" w:eastAsia="Calibri" w:hAnsi="Calibri" w:cs="Calibri"/>
          <w:sz w:val="24"/>
          <w:szCs w:val="24"/>
        </w:rPr>
      </w:pPr>
      <w:r>
        <w:rPr>
          <w:sz w:val="28"/>
          <w:szCs w:val="28"/>
        </w:rPr>
        <w:t>+ 34 655 344 701</w:t>
      </w:r>
    </w:p>
    <w:p w14:paraId="7E9CEE28" w14:textId="77777777" w:rsidR="007F1AFD" w:rsidRDefault="007F1AFD"/>
    <w:sectPr w:rsidR="007F1AFD">
      <w:headerReference w:type="default" r:id="rId12"/>
      <w:pgSz w:w="11909" w:h="16834"/>
      <w:pgMar w:top="0" w:right="1440" w:bottom="964" w:left="1440" w:header="1133"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B56D5F" w14:textId="77777777" w:rsidR="00BC0CD0" w:rsidRDefault="00BC0CD0">
      <w:pPr>
        <w:spacing w:line="240" w:lineRule="auto"/>
      </w:pPr>
      <w:r>
        <w:separator/>
      </w:r>
    </w:p>
  </w:endnote>
  <w:endnote w:type="continuationSeparator" w:id="0">
    <w:p w14:paraId="4546142D" w14:textId="77777777" w:rsidR="00BC0CD0" w:rsidRDefault="00BC0CD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panose1 w:val="020B0604020202020204"/>
    <w:charset w:val="00"/>
    <w:family w:val="auto"/>
    <w:pitch w:val="default"/>
  </w:font>
  <w:font w:name="Courier New">
    <w:panose1 w:val="02070309020205020404"/>
    <w:charset w:val="00"/>
    <w:family w:val="modern"/>
    <w:pitch w:val="fixed"/>
    <w:sig w:usb0="E0002AFF" w:usb1="C0007843" w:usb2="00000009" w:usb3="00000000" w:csb0="000001FF" w:csb1="00000000"/>
    <w:embedRegular r:id="rId2" w:fontKey="{600BD429-E5FC-F543-A7CC-F7C184EE0989}"/>
  </w:font>
  <w:font w:name="Arial">
    <w:panose1 w:val="020B0604020202020204"/>
    <w:charset w:val="00"/>
    <w:family w:val="swiss"/>
    <w:pitch w:val="variable"/>
    <w:sig w:usb0="E0002AFF" w:usb1="C0007843" w:usb2="00000009" w:usb3="00000000" w:csb0="000001FF" w:csb1="00000000"/>
    <w:embedRegular r:id="rId3" w:fontKey="{2B6E7ECF-CF1D-1D40-AF58-6309D2F778D9}"/>
    <w:embedBold r:id="rId4" w:fontKey="{2F6C5862-5F6E-CF47-8CC1-47716C62CF6B}"/>
    <w:embedItalic r:id="rId5" w:fontKey="{5012ED47-8CC5-E24C-8846-3AAAB1EF809C}"/>
    <w:embedBoldItalic r:id="rId6" w:fontKey="{230C0B94-FB20-4F45-A280-64088173517C}"/>
  </w:font>
  <w:font w:name="Times New Roman">
    <w:panose1 w:val="02020603050405020304"/>
    <w:charset w:val="00"/>
    <w:family w:val="roman"/>
    <w:pitch w:val="variable"/>
    <w:sig w:usb0="E0002EFF" w:usb1="C000785B" w:usb2="00000009" w:usb3="00000000" w:csb0="000001FF" w:csb1="00000000"/>
    <w:embedRegular r:id="rId7" w:fontKey="{DF106978-DDFA-C347-B1E8-49EB5FAB76C8}"/>
  </w:font>
  <w:font w:name="Gotham">
    <w:altName w:val="Calibri"/>
    <w:panose1 w:val="020B0604020202020204"/>
    <w:charset w:val="00"/>
    <w:family w:val="auto"/>
    <w:pitch w:val="default"/>
  </w:font>
  <w:font w:name="Calibri">
    <w:panose1 w:val="020F0502020204030204"/>
    <w:charset w:val="00"/>
    <w:family w:val="swiss"/>
    <w:pitch w:val="variable"/>
    <w:sig w:usb0="E4002EFF" w:usb1="C000247B" w:usb2="00000009" w:usb3="00000000" w:csb0="000001FF" w:csb1="00000000"/>
    <w:embedRegular r:id="rId9" w:fontKey="{D19B31F4-1E55-444E-9535-37D42E164CC8}"/>
  </w:font>
  <w:font w:name="Cambria">
    <w:panose1 w:val="02040503050406030204"/>
    <w:charset w:val="00"/>
    <w:family w:val="roman"/>
    <w:pitch w:val="variable"/>
    <w:sig w:usb0="E00006FF" w:usb1="420024FF" w:usb2="02000000" w:usb3="00000000" w:csb0="0000019F" w:csb1="00000000"/>
    <w:embedRegular r:id="rId10" w:fontKey="{5602CE48-EA52-D446-BC45-229F871210EB}"/>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19A1E9" w14:textId="77777777" w:rsidR="00BC0CD0" w:rsidRDefault="00BC0CD0">
      <w:pPr>
        <w:spacing w:line="240" w:lineRule="auto"/>
      </w:pPr>
      <w:r>
        <w:separator/>
      </w:r>
    </w:p>
  </w:footnote>
  <w:footnote w:type="continuationSeparator" w:id="0">
    <w:p w14:paraId="0D1633BA" w14:textId="77777777" w:rsidR="00BC0CD0" w:rsidRDefault="00BC0CD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5EFD59" w14:textId="77777777" w:rsidR="007F1AFD" w:rsidRDefault="00000000">
    <w:pPr>
      <w:jc w:val="right"/>
      <w:rPr>
        <w:color w:val="666666"/>
      </w:rPr>
    </w:pPr>
    <w:r>
      <w:rPr>
        <w:noProof/>
        <w:color w:val="666666"/>
      </w:rPr>
      <w:drawing>
        <wp:inline distT="114300" distB="114300" distL="114300" distR="114300" wp14:anchorId="132D856F" wp14:editId="5464B569">
          <wp:extent cx="2035800" cy="540000"/>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035800" cy="540000"/>
                  </a:xfrm>
                  <a:prstGeom prst="rect">
                    <a:avLst/>
                  </a:prstGeom>
                  <a:ln/>
                </pic:spPr>
              </pic:pic>
            </a:graphicData>
          </a:graphic>
        </wp:inline>
      </w:drawing>
    </w:r>
  </w:p>
  <w:p w14:paraId="4B29F62E" w14:textId="77777777" w:rsidR="007F1AFD" w:rsidRDefault="00BC0CD0">
    <w:pPr>
      <w:rPr>
        <w:color w:val="666666"/>
      </w:rPr>
    </w:pPr>
    <w:r>
      <w:rPr>
        <w:noProof/>
      </w:rPr>
      <w:pict w14:anchorId="36905EED">
        <v:rect id="_x0000_i1025" alt="" style="width:425.2pt;height:.05pt;mso-width-percent:0;mso-height-percent:0;mso-width-percent:0;mso-height-percent:0" o:hralign="center" o:hrstd="t" o:hr="t" fillcolor="#a0a0a0" stroked="f"/>
      </w:pict>
    </w:r>
  </w:p>
  <w:p w14:paraId="23D61B0E" w14:textId="77777777" w:rsidR="007F1AFD" w:rsidRDefault="007F1AFD">
    <w:pPr>
      <w:rPr>
        <w:color w:val="666666"/>
      </w:rPr>
    </w:pPr>
  </w:p>
  <w:p w14:paraId="67D8A17B" w14:textId="77777777" w:rsidR="007F1AFD" w:rsidRDefault="007F1AFD">
    <w:pPr>
      <w:rPr>
        <w:color w:val="66666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CC1A8F"/>
    <w:multiLevelType w:val="multilevel"/>
    <w:tmpl w:val="44D65C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74935214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embedTrueTypeFonts/>
  <w:proofState w:spelling="clean" w:grammar="clean"/>
  <w:defaultTabStop w:val="720"/>
  <w:hyphenationZone w:val="425"/>
  <w:characterSpacingControl w:val="doNotCompress"/>
  <w:hdrShapeDefaults>
    <o:shapedefaults v:ext="edit" spidmax="10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1AFD"/>
    <w:rsid w:val="005567A8"/>
    <w:rsid w:val="0059325A"/>
    <w:rsid w:val="007F1AFD"/>
    <w:rsid w:val="00B70E24"/>
    <w:rsid w:val="00BC0CD0"/>
    <w:rsid w:val="00C8538A"/>
    <w:rsid w:val="00D0198D"/>
    <w:rsid w:val="00DD18E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ecimalSymbol w:val=","/>
  <w:listSeparator w:val=";"/>
  <w14:docId w14:val="0A410405"/>
  <w15:docId w15:val="{63D6E4B8-5BA1-1A45-A25A-1837CE7A77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 w:eastAsia="es-ES_tradnl"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character" w:styleId="Hipervnculo">
    <w:name w:val="Hyperlink"/>
    <w:basedOn w:val="Fuentedeprrafopredeter"/>
    <w:uiPriority w:val="99"/>
    <w:unhideWhenUsed/>
    <w:rsid w:val="00DD18E5"/>
    <w:rPr>
      <w:color w:val="0000FF" w:themeColor="hyperlink"/>
      <w:u w:val="single"/>
    </w:rPr>
  </w:style>
  <w:style w:type="character" w:styleId="Mencinsinresolver">
    <w:name w:val="Unresolved Mention"/>
    <w:basedOn w:val="Fuentedeprrafopredeter"/>
    <w:uiPriority w:val="99"/>
    <w:semiHidden/>
    <w:unhideWhenUsed/>
    <w:rsid w:val="00DD18E5"/>
    <w:rPr>
      <w:color w:val="605E5C"/>
      <w:shd w:val="clear" w:color="auto" w:fill="E1DFDD"/>
    </w:rPr>
  </w:style>
  <w:style w:type="character" w:styleId="Hipervnculovisitado">
    <w:name w:val="FollowedHyperlink"/>
    <w:basedOn w:val="Fuentedeprrafopredeter"/>
    <w:uiPriority w:val="99"/>
    <w:semiHidden/>
    <w:unhideWhenUsed/>
    <w:rsid w:val="00DD18E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comunidad.madrid/cultura/oferta-cultural-ocio/hispanidad-2025"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c.madrid/cg1ck" TargetMode="Externa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orcam.acblnk.com/url/ver/657865304/2703179/48fb77495d976c403eb6174afb248445" TargetMode="External"/><Relationship Id="rId5" Type="http://schemas.openxmlformats.org/officeDocument/2006/relationships/footnotes" Target="footnotes.xml"/><Relationship Id="rId10" Type="http://schemas.openxmlformats.org/officeDocument/2006/relationships/hyperlink" Target="https://orcam.acblnk.com/url/ver/657865303/2703179/48fb77495d976c403eb6174afb248445"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555</Words>
  <Characters>3054</Characters>
  <Application>Microsoft Office Word</Application>
  <DocSecurity>0</DocSecurity>
  <Lines>25</Lines>
  <Paragraphs>7</Paragraphs>
  <ScaleCrop>false</ScaleCrop>
  <Company/>
  <LinksUpToDate>false</LinksUpToDate>
  <CharactersWithSpaces>3602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Prensa Impacta</cp:lastModifiedBy>
  <cp:revision>2</cp:revision>
  <dcterms:created xsi:type="dcterms:W3CDTF">2025-10-08T14:34:00Z</dcterms:created>
  <dcterms:modified xsi:type="dcterms:W3CDTF">2025-10-08T14:34:00Z</dcterms:modified>
</cp:coreProperties>
</file>